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36D8" w:rsidRDefault="00A9793F">
      <w:pPr>
        <w:jc w:val="center"/>
      </w:pPr>
      <w:bookmarkStart w:id="0" w:name="_GoBack"/>
      <w:bookmarkEnd w:id="0"/>
      <w:r>
        <w:rPr>
          <w:rFonts w:ascii="Calibri" w:eastAsia="Calibri" w:hAnsi="Calibri" w:cs="Calibri"/>
          <w:color w:val="800000"/>
          <w:sz w:val="28"/>
          <w:szCs w:val="28"/>
        </w:rPr>
        <w:t xml:space="preserve"> </w: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58240" behindDoc="0" locked="0" layoutInCell="0" hidden="0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-711199</wp:posOffset>
                </wp:positionV>
                <wp:extent cx="3136900" cy="9652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2312" y="3301528"/>
                          <a:ext cx="3127374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A36D8" w:rsidRDefault="000A36D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0" locked="0" relativeHeight="0" simplePos="0">
                <wp:simplePos x="0" y="0"/>
                <wp:positionH relativeFrom="margin">
                  <wp:posOffset>1308100</wp:posOffset>
                </wp:positionH>
                <wp:positionV relativeFrom="paragraph">
                  <wp:posOffset>-711199</wp:posOffset>
                </wp:positionV>
                <wp:extent cx="3136900" cy="965200"/>
                <wp:effectExtent b="0" l="0" r="0" t="0"/>
                <wp:wrapNone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6900" cy="965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36D8" w:rsidRDefault="000A36D8">
      <w:pPr>
        <w:jc w:val="center"/>
      </w:pPr>
    </w:p>
    <w:p w:rsidR="000A36D8" w:rsidRDefault="00A9793F">
      <w:pPr>
        <w:jc w:val="center"/>
      </w:pPr>
      <w:r>
        <w:rPr>
          <w:rFonts w:ascii="Calibri" w:eastAsia="Calibri" w:hAnsi="Calibri" w:cs="Calibri"/>
          <w:color w:val="00B0F0"/>
          <w:sz w:val="28"/>
          <w:szCs w:val="28"/>
        </w:rPr>
        <w:t xml:space="preserve">External Evaluation Liaison Group </w:t>
      </w:r>
    </w:p>
    <w:p w:rsidR="000A36D8" w:rsidRDefault="000A36D8">
      <w:pPr>
        <w:jc w:val="center"/>
      </w:pPr>
    </w:p>
    <w:p w:rsidR="000A36D8" w:rsidRDefault="00A9793F">
      <w:pPr>
        <w:jc w:val="center"/>
      </w:pPr>
      <w:r>
        <w:rPr>
          <w:rFonts w:ascii="Calibri" w:eastAsia="Calibri" w:hAnsi="Calibri" w:cs="Calibri"/>
          <w:color w:val="00B0F0"/>
          <w:sz w:val="28"/>
          <w:szCs w:val="28"/>
        </w:rPr>
        <w:t>Contextualisation of Toddler Wellbeing Training Event Materials</w:t>
      </w:r>
    </w:p>
    <w:p w:rsidR="000A36D8" w:rsidRDefault="000A36D8">
      <w:pPr>
        <w:jc w:val="center"/>
      </w:pPr>
    </w:p>
    <w:p w:rsidR="000A36D8" w:rsidRDefault="00A9793F">
      <w:pPr>
        <w:jc w:val="center"/>
      </w:pPr>
      <w:r>
        <w:rPr>
          <w:rFonts w:ascii="Calibri" w:eastAsia="Calibri" w:hAnsi="Calibri" w:cs="Calibri"/>
          <w:color w:val="00B0F0"/>
          <w:sz w:val="28"/>
          <w:szCs w:val="28"/>
        </w:rPr>
        <w:t>Evaluation Form:</w:t>
      </w:r>
    </w:p>
    <w:p w:rsidR="000A36D8" w:rsidRDefault="00A9793F">
      <w:r>
        <w:rPr>
          <w:rFonts w:ascii="Calibri" w:eastAsia="Calibri" w:hAnsi="Calibri" w:cs="Calibri"/>
          <w:b/>
          <w:color w:val="00B0F0"/>
          <w:sz w:val="22"/>
          <w:szCs w:val="22"/>
        </w:rPr>
        <w:t>Name: Inma Piquer</w:t>
      </w:r>
    </w:p>
    <w:p w:rsidR="000A36D8" w:rsidRDefault="000A36D8"/>
    <w:p w:rsidR="000A36D8" w:rsidRDefault="00A9793F">
      <w:pPr>
        <w:ind w:right="-23"/>
        <w:jc w:val="both"/>
      </w:pPr>
      <w:r>
        <w:rPr>
          <w:rFonts w:ascii="Calibri" w:eastAsia="Calibri" w:hAnsi="Calibri" w:cs="Calibri"/>
          <w:sz w:val="22"/>
          <w:szCs w:val="22"/>
        </w:rPr>
        <w:t>The aim of the training event was to introduce the Setting Partners and their Early Years Practitioners:</w:t>
      </w:r>
    </w:p>
    <w:p w:rsidR="000A36D8" w:rsidRDefault="00A9793F">
      <w:pPr>
        <w:numPr>
          <w:ilvl w:val="0"/>
          <w:numId w:val="6"/>
        </w:numPr>
        <w:ind w:right="-23" w:hanging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the updated TODDLER Project materials;</w:t>
      </w:r>
    </w:p>
    <w:p w:rsidR="000A36D8" w:rsidRDefault="00A9793F">
      <w:pPr>
        <w:numPr>
          <w:ilvl w:val="0"/>
          <w:numId w:val="6"/>
        </w:numPr>
        <w:ind w:right="-23" w:hanging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Provide an opportunity to explore the context of wellbeing and the  projects content and materials;</w:t>
      </w:r>
    </w:p>
    <w:p w:rsidR="000A36D8" w:rsidRDefault="00A9793F">
      <w:pPr>
        <w:numPr>
          <w:ilvl w:val="0"/>
          <w:numId w:val="6"/>
        </w:numPr>
        <w:ind w:right="-23" w:hanging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It provides EYPs with the opportunity to create a reflective dialogue which will continue through the use of the d</w:t>
      </w:r>
      <w:r>
        <w:rPr>
          <w:rFonts w:ascii="Calibri" w:eastAsia="Calibri" w:hAnsi="Calibri" w:cs="Calibri"/>
          <w:sz w:val="22"/>
          <w:szCs w:val="22"/>
        </w:rPr>
        <w:t xml:space="preserve">iscussion board and Job Shadowing.  </w:t>
      </w:r>
    </w:p>
    <w:p w:rsidR="000A36D8" w:rsidRDefault="000A36D8">
      <w:pPr>
        <w:ind w:left="720" w:right="-23"/>
        <w:jc w:val="both"/>
      </w:pPr>
    </w:p>
    <w:p w:rsidR="000A36D8" w:rsidRDefault="00A9793F">
      <w:pPr>
        <w:ind w:right="-23"/>
        <w:jc w:val="both"/>
      </w:pPr>
      <w:r>
        <w:rPr>
          <w:rFonts w:ascii="Calibri" w:eastAsia="Calibri" w:hAnsi="Calibri" w:cs="Calibri"/>
          <w:sz w:val="22"/>
          <w:szCs w:val="22"/>
        </w:rPr>
        <w:t>The materials of the training event are all provided within a folder and on a USB which also contains the application for this project.</w:t>
      </w:r>
    </w:p>
    <w:p w:rsidR="000A36D8" w:rsidRDefault="00A9793F">
      <w:pPr>
        <w:widowControl w:val="0"/>
      </w:pPr>
      <w:r>
        <w:t> </w:t>
      </w:r>
    </w:p>
    <w:tbl>
      <w:tblPr>
        <w:tblStyle w:val="a"/>
        <w:tblW w:w="9322" w:type="dxa"/>
        <w:tblInd w:w="-108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6"/>
        <w:gridCol w:w="2394"/>
        <w:gridCol w:w="6"/>
        <w:gridCol w:w="4640"/>
        <w:gridCol w:w="10"/>
        <w:gridCol w:w="7"/>
        <w:gridCol w:w="12"/>
        <w:gridCol w:w="396"/>
        <w:gridCol w:w="10"/>
        <w:gridCol w:w="12"/>
        <w:gridCol w:w="404"/>
        <w:gridCol w:w="24"/>
        <w:gridCol w:w="439"/>
        <w:gridCol w:w="429"/>
      </w:tblGrid>
      <w:tr w:rsidR="000A36D8">
        <w:tc>
          <w:tcPr>
            <w:tcW w:w="539" w:type="dxa"/>
            <w:gridSpan w:val="2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2394" w:type="dxa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Performance Indicator</w:t>
            </w:r>
          </w:p>
          <w:p w:rsidR="000A36D8" w:rsidRDefault="000A36D8"/>
        </w:tc>
        <w:tc>
          <w:tcPr>
            <w:tcW w:w="4646" w:type="dxa"/>
            <w:gridSpan w:val="2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Themes</w:t>
            </w:r>
          </w:p>
          <w:p w:rsidR="000A36D8" w:rsidRDefault="000A36D8"/>
        </w:tc>
        <w:tc>
          <w:tcPr>
            <w:tcW w:w="425" w:type="dxa"/>
            <w:gridSpan w:val="4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426" w:type="dxa"/>
            <w:gridSpan w:val="3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463" w:type="dxa"/>
            <w:gridSpan w:val="2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429" w:type="dxa"/>
            <w:shd w:val="clear" w:color="auto" w:fill="FFCC99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0A36D8">
        <w:tc>
          <w:tcPr>
            <w:tcW w:w="539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2394" w:type="dxa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Materials, resources and equipment</w:t>
            </w:r>
          </w:p>
        </w:tc>
        <w:tc>
          <w:tcPr>
            <w:tcW w:w="4646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4 = excellent, 3 = good, 2 satisfactory and 1 = poor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2394" w:type="dxa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Provision and suitability of materials, resources and equipment for the training event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3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Relevance and quality of materials issued during the event</w:t>
            </w:r>
          </w:p>
          <w:p w:rsidR="000A36D8" w:rsidRDefault="00A9793F">
            <w:pPr>
              <w:numPr>
                <w:ilvl w:val="0"/>
                <w:numId w:val="3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Sufficiency, range and suitability of other resources, including, where appropriate, ICT</w:t>
            </w:r>
          </w:p>
          <w:p w:rsidR="000A36D8" w:rsidRDefault="00A9793F">
            <w:pPr>
              <w:numPr>
                <w:ilvl w:val="0"/>
                <w:numId w:val="3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Provision of support and assistance for technology users</w:t>
            </w:r>
          </w:p>
          <w:p w:rsidR="000A36D8" w:rsidRDefault="00A9793F">
            <w:pPr>
              <w:numPr>
                <w:ilvl w:val="0"/>
                <w:numId w:val="3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Extent to which technology and other resources are used effectively and with innovation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2394" w:type="dxa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Quality of Int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ellectual Output Materials for use by EYPs</w:t>
            </w:r>
          </w:p>
        </w:tc>
        <w:tc>
          <w:tcPr>
            <w:tcW w:w="4646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4 = excellent, 3 = good, 2 satisfactory and 1 = poor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2394" w:type="dxa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TODDLER materials update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KU, UiS, URL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8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Use and content of the materials in your home language</w:t>
            </w:r>
          </w:p>
          <w:p w:rsidR="000A36D8" w:rsidRDefault="00A9793F">
            <w:pPr>
              <w:numPr>
                <w:ilvl w:val="0"/>
                <w:numId w:val="8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Reflection of this material within the ToWe materials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31-32 of the ToWe Application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Wide range of materials which cover all the areas contemplated within the project. Materials have been handed in all versions (printed, pen-drive, on-line). They are easy to access, consult and use. </w:t>
            </w:r>
          </w:p>
          <w:p w:rsidR="000A36D8" w:rsidRDefault="000A36D8"/>
        </w:tc>
      </w:tr>
      <w:tr w:rsidR="000A36D8">
        <w:tc>
          <w:tcPr>
            <w:tcW w:w="539" w:type="dxa"/>
            <w:gridSpan w:val="2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2.2</w:t>
            </w:r>
          </w:p>
        </w:tc>
        <w:tc>
          <w:tcPr>
            <w:tcW w:w="2394" w:type="dxa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Website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7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Structure, design and layout of the Public access and Private access to date</w:t>
            </w:r>
          </w:p>
          <w:p w:rsidR="000A36D8" w:rsidRDefault="00A9793F">
            <w:pPr>
              <w:numPr>
                <w:ilvl w:val="0"/>
                <w:numId w:val="7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Accessing the website and the work submitted to date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32-33 of the ToWe Application</w:t>
            </w:r>
          </w:p>
        </w:tc>
        <w:tc>
          <w:tcPr>
            <w:tcW w:w="425" w:type="dxa"/>
            <w:gridSpan w:val="4"/>
          </w:tcPr>
          <w:p w:rsidR="000A36D8" w:rsidRDefault="000A36D8"/>
        </w:tc>
        <w:tc>
          <w:tcPr>
            <w:tcW w:w="426" w:type="dxa"/>
            <w:gridSpan w:val="3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The website is well presented and structured. I love the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logo and the initial design. However, I would recommend you, as time goes by, to enrich it with pictures, videos and more visual stuff in order to make it more attractive to teachers, parents, etc.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Don’t forget to think about the different languages you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 dealing with. Maybe translating everything wouldn’t be practical but I think that you should try to translate, at least, some important parts.</w:t>
            </w:r>
          </w:p>
          <w:p w:rsidR="000A36D8" w:rsidRDefault="000A36D8"/>
        </w:tc>
      </w:tr>
      <w:tr w:rsidR="000A36D8">
        <w:tc>
          <w:tcPr>
            <w:tcW w:w="539" w:type="dxa"/>
            <w:gridSpan w:val="2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2.3</w:t>
            </w:r>
          </w:p>
        </w:tc>
        <w:tc>
          <w:tcPr>
            <w:tcW w:w="2394" w:type="dxa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Toddlers’ Wellbeing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KU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Quality of the materials and information they provide for use by EYPs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use and implement them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Relevance and use within the early years sector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33-35 of the ToWe Application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The materials are presented in parts which are hard to match as a whole. I would strongly recommend you to create a single document with an index which would help the reader to access the information through the different chapters. I haven’t been able to 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ccess pages 33-35 and didn’t find the ToWe Application but the “ToWe Presentation”. At this folder, I found the study cases of the different countries participating in the project. This is what I will comment in the following parts.</w:t>
            </w:r>
          </w:p>
          <w:p w:rsidR="000A36D8" w:rsidRDefault="000A36D8"/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About KU I consider ve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appropriate the study case using figures and all kind of data, pictures and references.</w:t>
            </w:r>
          </w:p>
        </w:tc>
      </w:tr>
      <w:tr w:rsidR="000A36D8">
        <w:tc>
          <w:tcPr>
            <w:tcW w:w="539" w:type="dxa"/>
            <w:gridSpan w:val="2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2.4</w:t>
            </w:r>
          </w:p>
        </w:tc>
        <w:tc>
          <w:tcPr>
            <w:tcW w:w="2394" w:type="dxa"/>
          </w:tcPr>
          <w:p w:rsidR="000A36D8" w:rsidRDefault="00A9793F">
            <w:pPr>
              <w:widowControl w:val="0"/>
              <w:ind w:left="27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Toddlers' Voice and Expressions </w:t>
            </w:r>
          </w:p>
          <w:p w:rsidR="000A36D8" w:rsidRDefault="00A9793F">
            <w:pPr>
              <w:widowControl w:val="0"/>
              <w:ind w:left="27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UiS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Quality of the materials and information they provide for use by EYPs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use and implement them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Relevance and use within the early years sector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35-37 of the ToWe Application</w:t>
            </w:r>
          </w:p>
        </w:tc>
        <w:tc>
          <w:tcPr>
            <w:tcW w:w="425" w:type="dxa"/>
            <w:gridSpan w:val="4"/>
          </w:tcPr>
          <w:p w:rsidR="000A36D8" w:rsidRDefault="000A36D8"/>
        </w:tc>
        <w:tc>
          <w:tcPr>
            <w:tcW w:w="426" w:type="dxa"/>
            <w:gridSpan w:val="3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Information is presented in a very thick way. I would recommend searching different strategies in order to provide a much more easy to rea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 approach.</w:t>
            </w:r>
          </w:p>
          <w:p w:rsidR="000A36D8" w:rsidRDefault="000A36D8"/>
        </w:tc>
      </w:tr>
      <w:tr w:rsidR="000A36D8">
        <w:tc>
          <w:tcPr>
            <w:tcW w:w="539" w:type="dxa"/>
            <w:gridSpan w:val="2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2.5</w:t>
            </w:r>
          </w:p>
        </w:tc>
        <w:tc>
          <w:tcPr>
            <w:tcW w:w="2394" w:type="dxa"/>
          </w:tcPr>
          <w:p w:rsidR="000A36D8" w:rsidRDefault="00A9793F">
            <w:pPr>
              <w:widowControl w:val="0"/>
              <w:ind w:left="224" w:hanging="224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Toddlers' Meal Times</w:t>
            </w:r>
          </w:p>
          <w:p w:rsidR="000A36D8" w:rsidRDefault="00A9793F">
            <w:pPr>
              <w:widowControl w:val="0"/>
              <w:ind w:left="224" w:hanging="224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URL 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Quality of the materials and information they provide for use by EYPs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use and implement them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Relevance and use within the early years sector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37-38 of the ToWe Application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presentation of data with links to relevant information. I would add some figures which would help to understand the content in a more visual way. Great selection of pictures to present the reality of the educative contexts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involved in the project.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This particular part of the project developed by the URV I very professional. I appreciated the translation made to the mother tongue, loved the great research, the references and the detailed rubrics presented.</w:t>
            </w:r>
          </w:p>
          <w:p w:rsidR="000A36D8" w:rsidRDefault="000A36D8"/>
        </w:tc>
      </w:tr>
      <w:tr w:rsidR="000A36D8">
        <w:tc>
          <w:tcPr>
            <w:tcW w:w="539" w:type="dxa"/>
            <w:gridSpan w:val="2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2.6</w:t>
            </w:r>
          </w:p>
        </w:tc>
        <w:tc>
          <w:tcPr>
            <w:tcW w:w="2394" w:type="dxa"/>
          </w:tcPr>
          <w:p w:rsidR="000A36D8" w:rsidRDefault="00A9793F">
            <w:pPr>
              <w:widowControl w:val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Toddlers' Add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itional Language(s)</w:t>
            </w:r>
          </w:p>
          <w:p w:rsidR="000A36D8" w:rsidRDefault="00A9793F">
            <w:pPr>
              <w:widowControl w:val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URL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Quality of the materials and information they provide for use by EYPs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use and implement them</w:t>
            </w:r>
          </w:p>
          <w:p w:rsidR="000A36D8" w:rsidRDefault="00A9793F">
            <w:pPr>
              <w:numPr>
                <w:ilvl w:val="0"/>
                <w:numId w:val="1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Relevance and use within the early years sector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39-40 of the ToWe Application</w:t>
            </w:r>
          </w:p>
        </w:tc>
        <w:tc>
          <w:tcPr>
            <w:tcW w:w="425" w:type="dxa"/>
            <w:gridSpan w:val="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3"/>
          </w:tcPr>
          <w:p w:rsidR="000A36D8" w:rsidRDefault="000A36D8"/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  <w:vMerge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As said in previous comments, a really professional presentation and a deep research which can only be applaused.</w:t>
            </w:r>
          </w:p>
          <w:p w:rsidR="000A36D8" w:rsidRDefault="000A36D8"/>
        </w:tc>
      </w:tr>
      <w:tr w:rsidR="000A36D8">
        <w:tc>
          <w:tcPr>
            <w:tcW w:w="539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2.7</w:t>
            </w:r>
          </w:p>
        </w:tc>
        <w:tc>
          <w:tcPr>
            <w:tcW w:w="2394" w:type="dxa"/>
          </w:tcPr>
          <w:p w:rsidR="000A36D8" w:rsidRDefault="00A9793F">
            <w:pPr>
              <w:widowControl w:val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Case Study Impact Report of ToWe </w:t>
            </w:r>
          </w:p>
          <w:p w:rsidR="000A36D8" w:rsidRDefault="00A9793F">
            <w:pPr>
              <w:widowControl w:val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UiS</w:t>
            </w:r>
          </w:p>
        </w:tc>
        <w:tc>
          <w:tcPr>
            <w:tcW w:w="4646" w:type="dxa"/>
            <w:gridSpan w:val="2"/>
          </w:tcPr>
          <w:p w:rsidR="000A36D8" w:rsidRDefault="00A9793F">
            <w:pPr>
              <w:numPr>
                <w:ilvl w:val="0"/>
                <w:numId w:val="9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Questionnaire to audit EYPs knowledge and skills</w:t>
            </w:r>
          </w:p>
          <w:p w:rsidR="000A36D8" w:rsidRDefault="00A9793F">
            <w:pPr>
              <w:numPr>
                <w:ilvl w:val="0"/>
                <w:numId w:val="9"/>
              </w:numPr>
              <w:ind w:left="314" w:hanging="284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Value of Case Study Impact Report </w:t>
            </w:r>
          </w:p>
          <w:p w:rsidR="000A36D8" w:rsidRDefault="00A9793F">
            <w:pPr>
              <w:ind w:left="30"/>
            </w:pPr>
            <w:r>
              <w:rPr>
                <w:rFonts w:ascii="Calibri" w:eastAsia="Calibri" w:hAnsi="Calibri" w:cs="Calibri"/>
                <w:sz w:val="16"/>
                <w:szCs w:val="16"/>
              </w:rPr>
              <w:t>Pages 40-41 of the ToWe Application</w:t>
            </w:r>
          </w:p>
        </w:tc>
        <w:tc>
          <w:tcPr>
            <w:tcW w:w="425" w:type="dxa"/>
            <w:gridSpan w:val="4"/>
          </w:tcPr>
          <w:p w:rsidR="000A36D8" w:rsidRDefault="000A36D8"/>
        </w:tc>
        <w:tc>
          <w:tcPr>
            <w:tcW w:w="426" w:type="dxa"/>
            <w:gridSpan w:val="3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63" w:type="dxa"/>
            <w:gridSpan w:val="2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9" w:type="dxa"/>
            <w:gridSpan w:val="2"/>
          </w:tcPr>
          <w:p w:rsidR="000A36D8" w:rsidRDefault="000A36D8"/>
        </w:tc>
        <w:tc>
          <w:tcPr>
            <w:tcW w:w="8783" w:type="dxa"/>
            <w:gridSpan w:val="1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materials: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The description offered of the context in plain and basic. Pictures help to understand better the context but I consider that a further detailed study case would be of great help.</w:t>
            </w:r>
          </w:p>
          <w:p w:rsidR="000A36D8" w:rsidRDefault="000A36D8"/>
        </w:tc>
      </w:tr>
      <w:tr w:rsidR="000A36D8">
        <w:tc>
          <w:tcPr>
            <w:tcW w:w="539" w:type="dxa"/>
            <w:gridSpan w:val="2"/>
            <w:shd w:val="clear" w:color="auto" w:fill="FBD4B4"/>
          </w:tcPr>
          <w:p w:rsidR="000A36D8" w:rsidRDefault="00A9793F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783" w:type="dxa"/>
            <w:gridSpan w:val="13"/>
            <w:shd w:val="clear" w:color="auto" w:fill="FBD4B4"/>
          </w:tcPr>
          <w:p w:rsidR="000A36D8" w:rsidRDefault="00A9793F"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Contextualisation of Toddler Wellbeing Training Event 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Did you attend any sessions of the training event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Yes/+No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If you attended the training event please answer the questions below.</w:t>
            </w:r>
          </w:p>
        </w:tc>
      </w:tr>
      <w:tr w:rsidR="000A36D8">
        <w:tc>
          <w:tcPr>
            <w:tcW w:w="533" w:type="dxa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8789" w:type="dxa"/>
            <w:gridSpan w:val="14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Which training sessions dis you attend: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TODDLER Materials and Website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Toddlers’ Wellbeing                      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Toddlers’ Voice and Expressions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Toddlers’ Meal Times                   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 xml:space="preserve">Toddlers Additional Languages        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  <w:p w:rsidR="000A36D8" w:rsidRDefault="00A9793F">
            <w:pPr>
              <w:widowControl w:val="0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Case Study Impa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ct Report of ToWe 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</w:tc>
      </w:tr>
      <w:tr w:rsidR="000A36D8">
        <w:tc>
          <w:tcPr>
            <w:tcW w:w="533" w:type="dxa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2400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Input into the event by the project partners</w:t>
            </w:r>
          </w:p>
        </w:tc>
        <w:tc>
          <w:tcPr>
            <w:tcW w:w="4656" w:type="dxa"/>
            <w:gridSpan w:val="3"/>
          </w:tcPr>
          <w:p w:rsidR="000A36D8" w:rsidRDefault="00A9793F">
            <w:pPr>
              <w:numPr>
                <w:ilvl w:val="0"/>
                <w:numId w:val="10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extent to which each partner contributes to the event</w:t>
            </w:r>
          </w:p>
          <w:p w:rsidR="000A36D8" w:rsidRDefault="00A9793F">
            <w:pPr>
              <w:numPr>
                <w:ilvl w:val="0"/>
                <w:numId w:val="10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evidence of partners sharing roles and responsibilities during the event</w:t>
            </w:r>
          </w:p>
        </w:tc>
        <w:tc>
          <w:tcPr>
            <w:tcW w:w="425" w:type="dxa"/>
            <w:gridSpan w:val="4"/>
          </w:tcPr>
          <w:p w:rsidR="000A36D8" w:rsidRDefault="000A36D8"/>
        </w:tc>
        <w:tc>
          <w:tcPr>
            <w:tcW w:w="440" w:type="dxa"/>
            <w:gridSpan w:val="3"/>
          </w:tcPr>
          <w:p w:rsidR="000A36D8" w:rsidRDefault="000A36D8"/>
        </w:tc>
        <w:tc>
          <w:tcPr>
            <w:tcW w:w="439" w:type="dxa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3" w:type="dxa"/>
            <w:vMerge/>
          </w:tcPr>
          <w:p w:rsidR="000A36D8" w:rsidRDefault="000A36D8"/>
        </w:tc>
        <w:tc>
          <w:tcPr>
            <w:tcW w:w="8789" w:type="dxa"/>
            <w:gridSpan w:val="14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training event:</w:t>
            </w:r>
          </w:p>
          <w:p w:rsidR="000A36D8" w:rsidRDefault="000A36D8"/>
          <w:p w:rsidR="000A36D8" w:rsidRDefault="000A36D8"/>
          <w:p w:rsidR="000A36D8" w:rsidRDefault="000A36D8"/>
          <w:p w:rsidR="000A36D8" w:rsidRDefault="000A36D8"/>
        </w:tc>
      </w:tr>
      <w:tr w:rsidR="000A36D8">
        <w:tc>
          <w:tcPr>
            <w:tcW w:w="533" w:type="dxa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3.3</w:t>
            </w:r>
          </w:p>
        </w:tc>
        <w:tc>
          <w:tcPr>
            <w:tcW w:w="2406" w:type="dxa"/>
            <w:gridSpan w:val="3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Effectiveness of the delivery by trainers, workshop leaders etc.</w:t>
            </w:r>
          </w:p>
        </w:tc>
        <w:tc>
          <w:tcPr>
            <w:tcW w:w="4669" w:type="dxa"/>
            <w:gridSpan w:val="4"/>
          </w:tcPr>
          <w:p w:rsidR="000A36D8" w:rsidRDefault="00A9793F">
            <w:pPr>
              <w:numPr>
                <w:ilvl w:val="0"/>
                <w:numId w:val="4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Trainers and leaders have the appropriate subject competence and knowledge</w:t>
            </w:r>
          </w:p>
          <w:p w:rsidR="000A36D8" w:rsidRDefault="00A9793F">
            <w:pPr>
              <w:numPr>
                <w:ilvl w:val="0"/>
                <w:numId w:val="4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Trainers and leaders are good communicators with the necessary language skills</w:t>
            </w:r>
          </w:p>
          <w:p w:rsidR="000A36D8" w:rsidRDefault="00A9793F">
            <w:pPr>
              <w:numPr>
                <w:ilvl w:val="0"/>
                <w:numId w:val="4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Trainers and leaders have the app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ropriate didactic experience for delivering professional development</w:t>
            </w:r>
          </w:p>
        </w:tc>
        <w:tc>
          <w:tcPr>
            <w:tcW w:w="418" w:type="dxa"/>
            <w:gridSpan w:val="3"/>
          </w:tcPr>
          <w:p w:rsidR="000A36D8" w:rsidRDefault="000A36D8"/>
        </w:tc>
        <w:tc>
          <w:tcPr>
            <w:tcW w:w="428" w:type="dxa"/>
            <w:gridSpan w:val="2"/>
          </w:tcPr>
          <w:p w:rsidR="000A36D8" w:rsidRDefault="000A36D8"/>
        </w:tc>
        <w:tc>
          <w:tcPr>
            <w:tcW w:w="439" w:type="dxa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3" w:type="dxa"/>
            <w:vMerge/>
          </w:tcPr>
          <w:p w:rsidR="000A36D8" w:rsidRDefault="000A36D8"/>
        </w:tc>
        <w:tc>
          <w:tcPr>
            <w:tcW w:w="8789" w:type="dxa"/>
            <w:gridSpan w:val="14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training event:</w:t>
            </w:r>
          </w:p>
          <w:p w:rsidR="000A36D8" w:rsidRDefault="000A36D8"/>
          <w:p w:rsidR="000A36D8" w:rsidRDefault="000A36D8"/>
          <w:p w:rsidR="000A36D8" w:rsidRDefault="000A36D8"/>
          <w:p w:rsidR="000A36D8" w:rsidRDefault="000A36D8"/>
          <w:p w:rsidR="000A36D8" w:rsidRDefault="000A36D8"/>
        </w:tc>
      </w:tr>
      <w:tr w:rsidR="000A36D8">
        <w:tc>
          <w:tcPr>
            <w:tcW w:w="533" w:type="dxa"/>
            <w:vMerge w:val="restart"/>
          </w:tcPr>
          <w:p w:rsidR="000A36D8" w:rsidRDefault="000A36D8"/>
        </w:tc>
        <w:tc>
          <w:tcPr>
            <w:tcW w:w="2400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Effectiveness of content and appropriate range and balance of activities</w:t>
            </w:r>
          </w:p>
        </w:tc>
        <w:tc>
          <w:tcPr>
            <w:tcW w:w="4663" w:type="dxa"/>
            <w:gridSpan w:val="4"/>
          </w:tcPr>
          <w:p w:rsidR="000A36D8" w:rsidRDefault="00A9793F">
            <w:pPr>
              <w:numPr>
                <w:ilvl w:val="0"/>
                <w:numId w:val="2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Appropriate content, clearly related to the aims and objectives of the event</w:t>
            </w:r>
          </w:p>
          <w:p w:rsidR="000A36D8" w:rsidRDefault="00A9793F">
            <w:pPr>
              <w:numPr>
                <w:ilvl w:val="0"/>
                <w:numId w:val="2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Relevant mixture of activities e.g. icebreaking activities, didactic sessions, workshops, social activities, free time</w:t>
            </w:r>
          </w:p>
          <w:p w:rsidR="000A36D8" w:rsidRDefault="00A9793F">
            <w:pPr>
              <w:numPr>
                <w:ilvl w:val="0"/>
                <w:numId w:val="2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Appropriateness of the social programme</w:t>
            </w:r>
          </w:p>
        </w:tc>
        <w:tc>
          <w:tcPr>
            <w:tcW w:w="430" w:type="dxa"/>
            <w:gridSpan w:val="4"/>
          </w:tcPr>
          <w:p w:rsidR="000A36D8" w:rsidRDefault="000A36D8"/>
        </w:tc>
        <w:tc>
          <w:tcPr>
            <w:tcW w:w="428" w:type="dxa"/>
            <w:gridSpan w:val="2"/>
          </w:tcPr>
          <w:p w:rsidR="000A36D8" w:rsidRDefault="000A36D8"/>
        </w:tc>
        <w:tc>
          <w:tcPr>
            <w:tcW w:w="439" w:type="dxa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3" w:type="dxa"/>
            <w:vMerge/>
          </w:tcPr>
          <w:p w:rsidR="000A36D8" w:rsidRDefault="000A36D8"/>
        </w:tc>
        <w:tc>
          <w:tcPr>
            <w:tcW w:w="8789" w:type="dxa"/>
            <w:gridSpan w:val="14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training event:</w:t>
            </w:r>
          </w:p>
          <w:p w:rsidR="000A36D8" w:rsidRDefault="000A36D8"/>
          <w:p w:rsidR="000A36D8" w:rsidRDefault="000A36D8"/>
          <w:p w:rsidR="000A36D8" w:rsidRDefault="000A36D8"/>
          <w:p w:rsidR="000A36D8" w:rsidRDefault="000A36D8"/>
          <w:p w:rsidR="000A36D8" w:rsidRDefault="000A36D8"/>
        </w:tc>
      </w:tr>
      <w:tr w:rsidR="000A36D8">
        <w:tc>
          <w:tcPr>
            <w:tcW w:w="533" w:type="dxa"/>
            <w:vMerge w:val="restart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3.4</w:t>
            </w:r>
          </w:p>
        </w:tc>
        <w:tc>
          <w:tcPr>
            <w:tcW w:w="2400" w:type="dxa"/>
            <w:gridSpan w:val="2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Effectiveness of shared ownership of the event by the Partners</w:t>
            </w:r>
          </w:p>
        </w:tc>
        <w:tc>
          <w:tcPr>
            <w:tcW w:w="4663" w:type="dxa"/>
            <w:gridSpan w:val="4"/>
          </w:tcPr>
          <w:p w:rsidR="000A36D8" w:rsidRDefault="00A9793F">
            <w:pPr>
              <w:numPr>
                <w:ilvl w:val="0"/>
                <w:numId w:val="5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Evidence that the needs and expectations of participants have been taken into account</w:t>
            </w:r>
          </w:p>
          <w:p w:rsidR="000A36D8" w:rsidRDefault="00A9793F">
            <w:pPr>
              <w:numPr>
                <w:ilvl w:val="0"/>
                <w:numId w:val="5"/>
              </w:numPr>
              <w:ind w:hanging="3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Evidence that participants have the opportunity to contribute their own expertise</w:t>
            </w:r>
          </w:p>
        </w:tc>
        <w:tc>
          <w:tcPr>
            <w:tcW w:w="430" w:type="dxa"/>
            <w:gridSpan w:val="4"/>
          </w:tcPr>
          <w:p w:rsidR="000A36D8" w:rsidRDefault="000A36D8"/>
        </w:tc>
        <w:tc>
          <w:tcPr>
            <w:tcW w:w="428" w:type="dxa"/>
            <w:gridSpan w:val="2"/>
          </w:tcPr>
          <w:p w:rsidR="000A36D8" w:rsidRDefault="000A36D8"/>
        </w:tc>
        <w:tc>
          <w:tcPr>
            <w:tcW w:w="439" w:type="dxa"/>
          </w:tcPr>
          <w:p w:rsidR="000A36D8" w:rsidRDefault="000A36D8"/>
        </w:tc>
        <w:tc>
          <w:tcPr>
            <w:tcW w:w="429" w:type="dxa"/>
          </w:tcPr>
          <w:p w:rsidR="000A36D8" w:rsidRDefault="000A36D8"/>
        </w:tc>
      </w:tr>
      <w:tr w:rsidR="000A36D8">
        <w:tc>
          <w:tcPr>
            <w:tcW w:w="533" w:type="dxa"/>
            <w:vMerge/>
          </w:tcPr>
          <w:p w:rsidR="000A36D8" w:rsidRDefault="000A36D8"/>
        </w:tc>
        <w:tc>
          <w:tcPr>
            <w:tcW w:w="8789" w:type="dxa"/>
            <w:gridSpan w:val="14"/>
          </w:tcPr>
          <w:p w:rsidR="000A36D8" w:rsidRDefault="00A9793F">
            <w:r>
              <w:rPr>
                <w:rFonts w:ascii="Calibri" w:eastAsia="Calibri" w:hAnsi="Calibri" w:cs="Calibri"/>
                <w:sz w:val="22"/>
                <w:szCs w:val="22"/>
              </w:rPr>
              <w:t>Comments on the training event:</w:t>
            </w:r>
          </w:p>
          <w:p w:rsidR="000A36D8" w:rsidRDefault="000A36D8"/>
          <w:p w:rsidR="000A36D8" w:rsidRDefault="000A36D8"/>
          <w:p w:rsidR="000A36D8" w:rsidRDefault="000A36D8"/>
          <w:p w:rsidR="000A36D8" w:rsidRDefault="000A36D8"/>
          <w:p w:rsidR="000A36D8" w:rsidRDefault="000A36D8"/>
        </w:tc>
      </w:tr>
    </w:tbl>
    <w:p w:rsidR="000A36D8" w:rsidRDefault="000A36D8"/>
    <w:p w:rsidR="000A36D8" w:rsidRDefault="00A9793F">
      <w:r>
        <w:rPr>
          <w:rFonts w:ascii="Calibri" w:eastAsia="Calibri" w:hAnsi="Calibri" w:cs="Calibri"/>
          <w:b/>
          <w:sz w:val="22"/>
          <w:szCs w:val="22"/>
        </w:rPr>
        <w:t>Key:</w:t>
      </w:r>
    </w:p>
    <w:p w:rsidR="000A36D8" w:rsidRDefault="00A9793F">
      <w:r>
        <w:rPr>
          <w:rFonts w:ascii="Calibri" w:eastAsia="Calibri" w:hAnsi="Calibri" w:cs="Calibri"/>
          <w:sz w:val="22"/>
          <w:szCs w:val="22"/>
        </w:rPr>
        <w:t>KU = Kingston University</w:t>
      </w:r>
    </w:p>
    <w:p w:rsidR="000A36D8" w:rsidRDefault="00A9793F">
      <w:r>
        <w:rPr>
          <w:rFonts w:ascii="Calibri" w:eastAsia="Calibri" w:hAnsi="Calibri" w:cs="Calibri"/>
          <w:sz w:val="22"/>
          <w:szCs w:val="22"/>
        </w:rPr>
        <w:t>UiS = University of Stavanger</w:t>
      </w:r>
    </w:p>
    <w:p w:rsidR="000A36D8" w:rsidRDefault="00A9793F">
      <w:r>
        <w:rPr>
          <w:rFonts w:ascii="Calibri" w:eastAsia="Calibri" w:hAnsi="Calibri" w:cs="Calibri"/>
          <w:sz w:val="22"/>
          <w:szCs w:val="22"/>
        </w:rPr>
        <w:t>URL = University of Ramon Llull</w:t>
      </w:r>
    </w:p>
    <w:p w:rsidR="000A36D8" w:rsidRDefault="00A9793F">
      <w:r>
        <w:rPr>
          <w:rFonts w:ascii="Calibri" w:eastAsia="Calibri" w:hAnsi="Calibri" w:cs="Calibri"/>
          <w:sz w:val="22"/>
          <w:szCs w:val="22"/>
        </w:rPr>
        <w:t>EYPs = Early Years Practitioners</w:t>
      </w:r>
    </w:p>
    <w:sectPr w:rsidR="000A36D8">
      <w:headerReference w:type="default" r:id="rId9"/>
      <w:footerReference w:type="default" r:id="rId10"/>
      <w:pgSz w:w="11906" w:h="16838"/>
      <w:pgMar w:top="1440" w:right="144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793F">
      <w:r>
        <w:separator/>
      </w:r>
    </w:p>
  </w:endnote>
  <w:endnote w:type="continuationSeparator" w:id="0">
    <w:p w:rsidR="00000000" w:rsidRDefault="00A9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D8" w:rsidRDefault="00A9793F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0A36D8" w:rsidRDefault="000A36D8">
    <w:pPr>
      <w:tabs>
        <w:tab w:val="center" w:pos="4536"/>
        <w:tab w:val="right" w:pos="9072"/>
      </w:tabs>
      <w:spacing w:after="8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793F">
      <w:r>
        <w:separator/>
      </w:r>
    </w:p>
  </w:footnote>
  <w:footnote w:type="continuationSeparator" w:id="0">
    <w:p w:rsidR="00000000" w:rsidRDefault="00A97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D8" w:rsidRDefault="000A36D8">
    <w:pPr>
      <w:tabs>
        <w:tab w:val="center" w:pos="4536"/>
        <w:tab w:val="right" w:pos="9072"/>
      </w:tabs>
      <w:spacing w:before="70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7303"/>
    <w:multiLevelType w:val="multilevel"/>
    <w:tmpl w:val="0C509A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0EC66E75"/>
    <w:multiLevelType w:val="multilevel"/>
    <w:tmpl w:val="C1960B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43FB3F98"/>
    <w:multiLevelType w:val="multilevel"/>
    <w:tmpl w:val="DF00870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85D5AAB"/>
    <w:multiLevelType w:val="multilevel"/>
    <w:tmpl w:val="2BD021B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2B23377"/>
    <w:multiLevelType w:val="multilevel"/>
    <w:tmpl w:val="1960E1C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63CD6A04"/>
    <w:multiLevelType w:val="multilevel"/>
    <w:tmpl w:val="CD26DB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6C067140"/>
    <w:multiLevelType w:val="multilevel"/>
    <w:tmpl w:val="EE84C1F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72CD03D2"/>
    <w:multiLevelType w:val="multilevel"/>
    <w:tmpl w:val="6292ED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>
    <w:nsid w:val="741E6A37"/>
    <w:multiLevelType w:val="multilevel"/>
    <w:tmpl w:val="FD0C749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74FC30E8"/>
    <w:multiLevelType w:val="multilevel"/>
    <w:tmpl w:val="C5E6A2D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36D8"/>
    <w:rsid w:val="000A36D8"/>
    <w:rsid w:val="00A9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5989</Characters>
  <Application>Microsoft Office Word</Application>
  <DocSecurity>4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 M</dc:creator>
  <cp:lastModifiedBy>Sutherland, Helen</cp:lastModifiedBy>
  <cp:revision>2</cp:revision>
  <dcterms:created xsi:type="dcterms:W3CDTF">2016-10-25T10:19:00Z</dcterms:created>
  <dcterms:modified xsi:type="dcterms:W3CDTF">2016-10-25T10:19:00Z</dcterms:modified>
</cp:coreProperties>
</file>